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CSCG</w:t>
      </w:r>
    </w:p>
    <w:p>
      <w:r>
        <w:rPr>
          <w:color w:val="555555"/>
          <w:sz w:val="18"/>
        </w:rPr>
        <w:t xml:space="preserve">Gesetz zu dem Übereinkommen vom 2. Dezember 1972 über sichere Container</w:t>
      </w:r>
    </w:p>
    <w:p>
      <w:r>
        <w:rPr>
          <w:color w:val="555555"/>
          <w:sz w:val="18"/>
        </w:rPr>
        <w:t xml:space="preserve">Stand: 10.06.2019 (konsolidierte Textfassung, kein amtliches Inkrafttretensdatum)</w:t>
      </w:r>
    </w:p>
    <w:p>
      <w:r>
        <w:t xml:space="preserve">(1) Für Amtshandlungen, Prüfungen und Besichtigungen nach diesem Gesetz und nach den auf diesem Gesetz beruhenden Rechtsverordnungen werden von demjenigen, der die Amtshandlung veranlaßt oder zu dessen Gunsten sie vorgenommen wird, Kosten (Gebühren und Auslagen) erhoben. Kostengläubiger ist der Rechtsträger, dessen Behörde die Amtshandlung vornimmt, bei Auslagen auch der Rechtsträger, bei dessen Behörde die Auslagen entstanden sind. Das Verwaltungskostengesetz in der bis zum 14. August 2013 geltenden Fassung findet Anwendung.</w:t>
      </w:r>
    </w:p>
    <w:p>
      <w:r>
        <w:t xml:space="preserve">(2) Das Bundesministerium für Verkehr und digitale Infrastruktur wird ermächtigt, die gebührenpflichtigen Tatbestände mit Zustimmung des Bundesrates durch Rechtsverordnung näher zu bestimmen und dabei feste Gebührensätze oder Rahmensätze vorzusehen. Die Gebührensätze sind so zu bemessen, daß zwischen der den Verwaltungsaufwand berücksichtigenden Höhe der Gebühr einerseits und der Bedeutung, dem wirtschaftlichen Wert oder dem sonstigen Nutzen der Amtshandlung andererseits ein angemessenes Verhältnis besteht. Die Gebühren dürfen bei der Entziehung der Zulassung von Containern 400 Euro, in allen übrigen Fällen 250 Euro nicht überschreiten.</w:t>
      </w:r>
    </w:p>
    <w:p>
      <w:r>
        <w:t xml:space="preserve">(3) In der Rechtsverordnung nach Absatz 2 können die Kostengläubigerschaft, der Umfang der zu erstattenden Auslagen, eine Vorschußpflicht, die Fälligkeit und die Verjährung der Kostenansprüche, die Befreiung von der Kostenpflicht, insbesondere für Unternehmen mit Betriebssitz außerhalb des Geltungsbereiches dieses Gesetzes soweit die Gegenseitigkeit verbürgt ist, sowie das Erhebungsverfahren abweichend vom Verwaltungskostengesetz in der bis zum 14. August 2013 geltenden Fassung geregelt werden.</w:t>
      </w:r>
    </w:p>
    <w:p>
      <w:r>
        <w:rPr>
          <w:color w:val="555555"/>
          <w:sz w:val="17"/>
        </w:rPr>
        <w:t xml:space="preserve">Zitiervorschlag: Art 8 CSCG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https://recht.nulegal.eu/gesetze/CSCG/8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