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CSCG</w:t>
      </w:r>
    </w:p>
    <w:p>
      <w:r>
        <w:rPr>
          <w:color w:val="555555"/>
          <w:sz w:val="18"/>
        </w:rPr>
        <w:t xml:space="preserve">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VIII für die Bundesrepublik Deutschland in Kraft tritt, ist im Bundesgesetzblatt bekanntzugeben.</w:t>
      </w:r>
    </w:p>
    <w:p>
      <w:r>
        <w:t xml:space="preserve">(3) Das Bundesministerium für Verkehr und digitale Infrastruktur wird ermächtigt, den Wortlaut des Übereinkommens und der Anlagen in der jeweils gültigen Fassung bekanntzumachen.</w:t>
      </w:r>
    </w:p>
    <w:p>
      <w:r>
        <w:rPr>
          <w:color w:val="555555"/>
          <w:sz w:val="17"/>
        </w:rPr>
        <w:t xml:space="preserve">Zitiervorschlag: Art 11 CSCG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