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COwiVO (Nordrhein-Westfalen) — Inkrafttreten, Außerkrafttreten</w:t>
      </w:r>
    </w:p>
    <w:p>
      <w:r>
        <w:rPr>
          <w:color w:val="555555"/>
          <w:sz w:val="18"/>
        </w:rPr>
        <w:t xml:space="preserve">Cannabisordnungswidrigkeitenverordnung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Diese Verordnung tritt am Tag nach ihrer Verkündung in Kraft und mit Ablauf des 30. April 2034 außer Kraft.</w:t>
      </w:r>
    </w:p>
    <w:p>
      <w:r>
        <w:t xml:space="preserve">Die Landesregierung Nordrhein-Westfalen</w:t>
      </w:r>
    </w:p>
    <w:p>
      <w:r>
        <w:t xml:space="preserve">Der Ministerpräsident</w:t>
      </w:r>
    </w:p>
    <w:p>
      <w:r>
        <w:t xml:space="preserve">Der Minister für Arbeit, Gesundheit und Soziales</w:t>
      </w:r>
    </w:p>
    <w:p>
      <w:r>
        <w:rPr>
          <w:color w:val="555555"/>
          <w:sz w:val="17"/>
        </w:rPr>
        <w:t xml:space="preserve">Zitiervorschlag: § 3 COwiVO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https://recht.nulegal.eu/gesetze/COwiVO/3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