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COwiVO (Nordrhein-Westfalen) — Zuständigkeit</w:t>
      </w:r>
    </w:p>
    <w:p>
      <w:r>
        <w:rPr>
          <w:color w:val="555555"/>
          <w:sz w:val="18"/>
        </w:rPr>
        <w:t xml:space="preserve">Cannabisordnungswidrigkeitenverordnung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Zuständigkeit für die Verfolgung und Ahndung von Ordnungswidrigkeiten nach § 36 Absatz 1 Nummer 1 Buchstabe a und b sowie Nummer 4 und 5 des Konsumcannabisgesetzes vom 27. März 2024 (BGBl. 2024 I Nr. 109) wird auf die Gemeinden übertragen. Ausgenommen davon ist die Verfolgung und Ahndung von Ordnungswidrigkeiten in militärischen Bereichen nach § 36 Absatz 1 Nummer 4 in Verbindung mit § 5 Absatz 3 des Konsumcannabisgesetzes.</w:t>
      </w:r>
    </w:p>
    <w:p>
      <w:r>
        <w:rPr>
          <w:color w:val="555555"/>
          <w:sz w:val="17"/>
        </w:rPr>
        <w:t xml:space="preserve">Zitiervorschlag: § 1 COwiVO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https://recht.nulegal.eu/gesetze/COwiVO/1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