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COVInsAG — Prognose- und Planungszeiträume</w:t>
      </w:r>
    </w:p>
    <w:p>
      <w:r>
        <w:rPr>
          <w:color w:val="555555"/>
          <w:sz w:val="18"/>
        </w:rPr>
        <w:t xml:space="preserve">Sanierungs- und insolvenzrechtliches Krisenfolgenabmilderungsgesetz</w:t>
      </w:r>
    </w:p>
    <w:p>
      <w:r>
        <w:rPr>
          <w:color w:val="555555"/>
          <w:sz w:val="18"/>
        </w:rPr>
        <w:t xml:space="preserve">Stand: 09.11.2022 (konsolidierte Textfassung, kein amtliches Inkrafttretensdatum)</w:t>
      </w:r>
    </w:p>
    <w:p>
      <w:r>
        <w:t xml:space="preserve">(1) Abweichend von § 19 Absatz 2 Satz 1 der Insolvenzordnung ist zwischen dem 1. Januar 2021 und dem 31. Dezember 2021 anstelle des Zeitraums von zwölf Monaten ein Zeitraum von vier Monaten zugrunde zu legen, wenn die Überschuldung des Schuldners auf die COVID-19-Pandemie zurückzuführen ist. Dies wird vermutet, wenn</w:t>
      </w:r>
    </w:p>
    <w:p>
      <w:pPr>
        <w:ind w:left="420"/>
      </w:pPr>
      <w:r>
        <w:t xml:space="preserve">1. der Schuldner am 31. Dezember 2019 nicht zahlungsunfähig war,</w:t>
      </w:r>
    </w:p>
    <w:p>
      <w:pPr>
        <w:ind w:left="420"/>
      </w:pPr>
      <w:r>
        <w:t xml:space="preserve">2. der Schuldner in dem letzten, vor dem 1. Januar 2020 abgeschlossenen Geschäftsjahr ein positives Ergebnis aus der gewöhnlichen Geschäftstätigkeit erwirtschaftet hat und</w:t>
      </w:r>
    </w:p>
    <w:p>
      <w:pPr>
        <w:ind w:left="420"/>
      </w:pPr>
      <w:r>
        <w:t xml:space="preserve">3. der Umsatz aus der gewöhnlichen Geschäftstätigkeit im Kalenderjahr 2020 im Vergleich zum Vorjahr um mehr als 30 Prozent eingebrochen ist.</w:t>
      </w:r>
    </w:p>
    <w:p>
      <w:r>
        <w:t xml:space="preserve">(2) In dem Zeitraum vom 9. November 2022 bis einschließlich 31. Dezember 2023 tritt an die Stelle des in</w:t>
      </w:r>
    </w:p>
    <w:p>
      <w:pPr>
        <w:ind w:left="420"/>
      </w:pPr>
      <w:r>
        <w:t xml:space="preserve">1. § 19 Absatz 2 Satz 1 der Insolvenzordnung genannten Zeitraums von zwölf Monaten,</w:t>
      </w:r>
    </w:p>
    <w:p>
      <w:pPr>
        <w:ind w:left="420"/>
      </w:pPr>
      <w:r>
        <w:t xml:space="preserve">2. § 270a Absatz 1 Nummer 1 der Insolvenzordnung genannten Zeitraums von sechs Monaten und</w:t>
      </w:r>
    </w:p>
    <w:p>
      <w:pPr>
        <w:ind w:left="420"/>
      </w:pPr>
      <w:r>
        <w:t xml:space="preserve">3. § 50 Absatz 2 Nummer 2 des Unternehmensstabilisierungs- und -restrukturierungsgesetzes genannten Zeitraums von sechs Monaten</w:t>
      </w:r>
    </w:p>
    <w:p>
      <w:r>
        <w:t xml:space="preserve">ein Zeitraum von vier Monaten. Satz 1 gilt auch, wenn vor dem 9. November 2022 eine Überschuldung nach § 19 Absatz 2 Satz 1 der Insolvenzordnung vorlag, es sei denn, dass der für eine rechtzeitige Antragstellung maßgebliche Zeitpunkt nach § 15a Absatz 1 Satz 1 und 2 der Insolvenzordnung bereits verstrichen ist.</w:t>
      </w:r>
    </w:p>
    <w:p>
      <w:r>
        <w:rPr>
          <w:color w:val="555555"/>
          <w:sz w:val="17"/>
        </w:rPr>
        <w:t xml:space="preserve">Zitiervorschlag: § 4 COVInsAG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https://recht.nulegal.eu/gesetze/COVInsAG/4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