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COVInsAG — Eröffnungsgrund bei Gläubigerinsolvenzanträgen</w:t>
      </w:r>
    </w:p>
    <w:p>
      <w:r>
        <w:rPr>
          <w:color w:val="555555"/>
          <w:sz w:val="18"/>
        </w:rPr>
        <w:t xml:space="preserve">Sanierungs- und insolvenzrechtliches Krisenfolgenabmilderungsgesetz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Bei zwischen dem 28. März 2020 und dem 28. Juni 2020 gestellten Gläubigerinsolvenzanträgen setzt die Eröffnung des Insolvenzverfahrens voraus, dass der Eröffnungsgrund bereits am 1. März 2020 vorlag.</w:t>
      </w:r>
    </w:p>
    <w:p>
      <w:r>
        <w:rPr>
          <w:color w:val="555555"/>
          <w:sz w:val="17"/>
        </w:rPr>
        <w:t xml:space="preserve">Zitiervorschlag: § 3 COVInsAG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https://recht.nulegal.eu/gesetze/COVInsAG/3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COVInsAG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