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COV19KFVV</w:t>
      </w:r>
    </w:p>
    <w:p>
      <w:r>
        <w:rPr>
          <w:color w:val="555555"/>
          <w:sz w:val="18"/>
        </w:rPr>
        <w:t xml:space="preserve">COVID-19-Kammer-Funktionsfähigkeit-Verlängerungsverordnung</w:t>
      </w:r>
    </w:p>
    <w:p>
      <w:r>
        <w:rPr>
          <w:color w:val="555555"/>
          <w:sz w:val="18"/>
        </w:rPr>
        <w:t xml:space="preserve">Historische Fassung: Stand 22.12.2020 bis 01.01.2022. Dies ist nicht die aktuelle Fassung.</w:t>
      </w:r>
    </w:p>
    <w:p>
      <w:r>
        <w:t xml:space="preserve">Auf Grund des § 12 des COVID-19-Gesetzes zur Funktionsfähigkeit der Kammern vom 10. Juli 2020 (BGBl. I S. 1643, 1644) verordnet das Bundesministerium der Justiz und für Verbraucherschutz im Einvernehmen mit dem Bundesministerium für Wirtschaft und Energie und dem Bundesministerium der Finanzen:</w:t>
      </w:r>
    </w:p>
    <w:p>
      <w:r>
        <w:rPr>
          <w:color w:val="555555"/>
          <w:sz w:val="17"/>
        </w:rPr>
        <w:t xml:space="preserve">Zitiervorschlag: Eingangsformel COV19KFVV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https://recht.nulegal.eu/gesetze/COV19KFVV/eingangsformel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