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5b CO2KostAufG — Kostenverteilung bei Einbau und Betrieb einer Heizungsanlage nach § 43 des Gebäudemodernisierungsgesetzes in Neubauten</w:t>
      </w:r>
    </w:p>
    <w:p>
      <w:r>
        <w:rPr>
          <w:color w:val="555555"/>
          <w:sz w:val="18"/>
        </w:rPr>
        <w:t xml:space="preserve">Gesetz zur Aufteilung der Kohlendioxidkosten und zur Aufteilung der Betriebskosten bei Einbau einer mit Gas, Heizöl oder Flüssiggas beschickten Heizungsanlage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Die Regelungen des § 5a sind entsprechend auf Wohnraummietverhältnisse in Gebäuden, die bis zum Ablauf des 31. Dezember 2029 neu errichtet und erstmals genutzt werden, anzuwenden. Satz 1 ist nicht anzuwenden auf die Errichtung von Gebäuden, für die die Bauantragstellung oder der Antrag auf Zustimmung oder die Bauanzeige vor dem 13. Mai 2026 erfolgte.</w:t>
      </w:r>
    </w:p>
    <w:p>
      <w:r>
        <w:rPr>
          <w:color w:val="555555"/>
          <w:sz w:val="17"/>
        </w:rPr>
        <w:t xml:space="preserve">Zitiervorschlag: § 5b CO2KostAufG</w:t>
      </w:r>
    </w:p>
    <w:p>
      <w:r>
        <w:rPr>
          <w:color w:val="555555"/>
          <w:sz w:val="17"/>
        </w:rPr>
        <w:t xml:space="preserve">Quelle: Bundesamt für Justiz, abgerufen 29.07.2026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https://recht.nulegal.eu/gesetze/CO2KostAufG/5b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5b CO2KostAufG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