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3a CO2KostAufG — Grundsatz</w:t>
      </w:r>
    </w:p>
    <w:p>
      <w:r>
        <w:rPr>
          <w:color w:val="555555"/>
          <w:sz w:val="18"/>
        </w:rPr>
        <w:t xml:space="preserve">Gesetz zur Aufteilung der Kohlendioxidkosten und zur Aufteilung der Betriebskosten bei Einbau einer mit Gas, Heizöl oder Flüssiggas beschickten Heizungsanlage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Brennstofflieferanten ist es verboten, einen nach § 3 Absatz 1 Nummer 6 auszuweisenden Preisbestandteil zu erheben, der nicht sachlich gerechtfertigt ist. Eine sachliche Rechtfertigung kann sich insbesondere ergeben aus Beschaffungsverträgen des Brennstofflieferanten. Die Darlegungs- und Beweislast für die sachliche Rechtfertigung trägt der Brennstofflieferant.</w:t>
      </w:r>
    </w:p>
    <w:p>
      <w:r>
        <w:t xml:space="preserve">(2) Das Bundeskartellamt ist zuständig für die Überprüfung von Absatz 1. Es kann das Verhalten eines Brennstofflieferanten, der den Preisbestandteil nach § 3 Absatz 1 Nummer 6 auszuweisen hat, auf die Einhaltung der Maßgabe nach Absatz 1 Satz 1 und 2 überprüfen, wenn ein Anfangsverdacht eines Verstoßes gegen diese Maßgabe besteht. Im Rahmen des Aufgreifermessens ist insbesondere die Marktbedeutung des Brennstofflieferanten zu berücksichtigen. Das Bundeskartellamt kann den Brennstofflieferanten verpflichten, ein gegen Absatz 1 Satz 1 und 2 verstoßendes Verhalten abzustellen und ihm die hierfür erforderlichen Maßnahmen aufgeben. In der Abstellungsverfügung kann es eine Rückerstattung der aus dem gegen Absatz 1 Satz 1 und 2 verstoßenden Verhalten erwirtschafteten Vorteile anordnen. Die Höhe des Rückerstattungsbetrags kann geschätzt werden.</w:t>
      </w:r>
    </w:p>
    <w:p>
      <w:r>
        <w:t xml:space="preserve">(3) Die §§ 32, 32b, 50e, 50f, 86a, 91, 92, 94, 95 sowie die Vorschriften des Kapitels 3 des Teils 2 und des Kapitels 1 des Teils 3 des Gesetzes gegen Wettbewerbsbeschränkungen in der Fassung der Bekanntmachung vom 26. Juni 2013 (BGBl. I S. 1750, 3245), das zuletzt durch Artikel 3 des Gesetzes vom 22. Juni 2026 (BGBl. 2026 I Nr. 191) geändert worden ist, in der jeweils geltenden Fassung sind entsprechend anzuwenden. Dies gilt auch für die von ihnen in Bezug genommenen und auf sie verweisenden Vorschriften.</w:t>
      </w:r>
    </w:p>
    <w:p>
      <w:r>
        <w:t xml:space="preserve">(4) Die Vorschriften des Gesetzes gegen Wettbewerbsbeschränkungen bleiben anwendbar. Die Aufgaben und Zuständigkeiten der Kartellbehörden bleiben unberührt.</w:t>
      </w:r>
    </w:p>
    <w:p>
      <w:r>
        <w:rPr>
          <w:color w:val="555555"/>
          <w:sz w:val="17"/>
        </w:rPr>
        <w:t xml:space="preserve">Zitiervorschlag: § 3a CO2KostAufG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https://recht.nulegal.eu/gesetze/CO2KostAufG/3a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3a CO2KostAufG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