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CO2KostAufG — Anwendungsbereich</w:t>
      </w:r>
    </w:p>
    <w:p>
      <w:r>
        <w:rPr>
          <w:color w:val="555555"/>
          <w:sz w:val="18"/>
        </w:rPr>
        <w:t xml:space="preserve">Gesetz zur Aufteilung der Kohlendioxidkosten und zur Aufteilung der Betriebskosten bei Einbau einer mit Gas, Heizöl oder Flüssiggas beschickten Heizungsanlage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Dieses Gesetz gilt für Gebäude, in denen Brennstoffe in getrennten oder verbundenen Anlagen zur Wärmeerzeugung für Heizung oder für Heizung und Warmwasser genutzt werden, für die in der Rechtsverordnung nach § 7 Absatz 4 des Brennstoffemissionshandelsgesetzes Standardwerte für Emissionsfaktoren festgelegt sind. Dieses Gesetz gilt auch für die eigenständig gewerbliche Lieferung von Wärme oder von Wärme und Warmwasser hinsichtlich der für die Wärmeerzeugung eingesetzten Brennstoffe.</w:t>
      </w:r>
    </w:p>
    <w:p>
      <w:r>
        <w:t xml:space="preserve">(2) Dieses Gesetz regelt im Verhältnis zwischen Mieter und Vermieter die Aufteilung der Kohlendioxidkosten, die enthalten sind</w:t>
      </w:r>
    </w:p>
    <w:p>
      <w:pPr>
        <w:ind w:left="420"/>
      </w:pPr>
      <w:r>
        <w:t xml:space="preserve">1. in den Kosten der zur Versorgung mit Wärme oder Warmwasser verbrauchten Brennstoffe oder</w:t>
      </w:r>
    </w:p>
    <w:p>
      <w:pPr>
        <w:ind w:left="420"/>
      </w:pPr>
      <w:r>
        <w:t xml:space="preserve">2. in den Kosten für die Wärmelieferung oder Warmwasserlieferung,</w:t>
      </w:r>
    </w:p>
    <w:p>
      <w:r>
        <w:t xml:space="preserve">sowie notwendige Begleitfragen, die die Verteilung der Kosten der zur Versorgung mit Wärme oder Warmwasser verbrauchten Brennstoffe oder die Kosten für die Wärmelieferung oder Warmwasserlieferung betreffen.</w:t>
      </w:r>
    </w:p>
    <w:p>
      <w:r>
        <w:t xml:space="preserve">(3) Dieses Gesetz regelt bei Einbau und Betrieb einer Heizungsanlage nach § 43 Absatz 1 des Gebäudemodernisierungsgesetzes für Wohnraummietverhältnisse die Aufteilung der Kosten der nach dieser Vorschrift verpflichtend anteilig zu nutzenden Brennstoffe sowie der Netzentgelte nach § 40 Absatz 3 Nummer 4 des Energiewirtschaftsgesetzes vom 7. Juli 2005 (BGBl. I S. 1970, 3621), das zuletzt durch Artikel 5 des Gesetzes vom 29. März 2026 (BGBl. 2026 I Nr. 84) geändert worden ist.</w:t>
      </w:r>
    </w:p>
    <w:p>
      <w:r>
        <w:t xml:space="preserve">(4) Dieses Gesetz ist auch auf Wärmelieferungen anzuwenden, die aus Wärmeerzeugungsanlagen gespeist werden, die dem Europäischen Emissionshandel unterliegen. Satz 1 gilt nicht für Wärmelieferungen für Gebäude, die erstmals nach dem 1. Januar 2023 einen Wärmeanschluss erhalten haben.</w:t>
      </w:r>
    </w:p>
    <w:p>
      <w:r>
        <w:t xml:space="preserve">(5) Die Bestimmungen dieses Gesetzes gehen den Regelungen über die Verteilung der Kosten der Versorgung mit Wärme oder Warmwasser auf die Nutzer eines Gebäudes nach § 6 Absatz 1 der Verordnung über Heizkostenabrechnung sowie rechtsgeschäftlichen Bestimmungen vor.</w:t>
      </w:r>
    </w:p>
    <w:p>
      <w:r>
        <w:t xml:space="preserve">(6) Abweichend von Absatz 1 gilt § 10 auch für den Einsatz von Brennstoffen, für die in der Rechtsverordnung nach § 7 Absatz 4 des Brennstoffemissionshandelsgesetzes keine Standardwerte für Emissionsfaktoren festgelegt sind.</w:t>
      </w:r>
    </w:p>
    <w:p>
      <w:r>
        <w:t xml:space="preserve">(7) In den Fällen von § 11 der Verordnung über Heizkostenabrechnung ist dieses Gesetz nicht anzuwenden, es sei denn, die Vertragsparteien haben eine Abrechnung der Heiz- und Warmwasserkosten vereinbart.</w:t>
      </w:r>
    </w:p>
    <w:p>
      <w:r>
        <w:rPr>
          <w:color w:val="555555"/>
          <w:sz w:val="17"/>
        </w:rPr>
        <w:t xml:space="preserve">Zitiervorschlag: § 2 CO2KostAufG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https://recht.nulegal.eu/gesetze/CO2KostAufG/2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CO2KostAufG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