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1a CMRG</w:t>
      </w:r>
    </w:p>
    <w:p>
      <w:r>
        <w:rPr>
          <w:color w:val="555555"/>
          <w:sz w:val="18"/>
        </w:rPr>
        <w:t xml:space="preserve">Gesetz zu dem Übereinkommen vom 19. Mai 1956 über den Beförderungsvertrag im internationalen Straßengüterverkehr (CMR)</w:t>
      </w:r>
    </w:p>
    <w:p>
      <w:r>
        <w:rPr>
          <w:color w:val="555555"/>
          <w:sz w:val="18"/>
        </w:rPr>
        <w:t xml:space="preserve">Stand: 10.06.2019 (konsolidierte Textfassung, kein amtliches Inkrafttretensdatum)</w:t>
      </w:r>
    </w:p>
    <w:p>
      <w:r>
        <w:t xml:space="preserve">Für Rechtsstreitigkeiten aus einer dem Übereinkommen unterliegenden Beförderung ist auch das Gericht zuständig, in dessen Bezirk der Ort der Übernahme des Gutes oder der für die Ablieferung des Gutes vorgesehene Ort liegt.</w:t>
      </w:r>
    </w:p>
    <w:p>
      <w:r>
        <w:rPr>
          <w:color w:val="555555"/>
          <w:sz w:val="17"/>
        </w:rPr>
        <w:t xml:space="preserve">Zitiervorschlag: Art 1a CMRG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https://recht.nulegal.eu/gesetze/CMRG/1a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