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CMRG</w:t>
      </w:r>
    </w:p>
    <w:p>
      <w:r>
        <w:rPr>
          <w:color w:val="555555"/>
          <w:sz w:val="18"/>
        </w:rPr>
        <w:t xml:space="preserve">Gesetz zu dem Übereinkommen vom 19. Mai 1956 über den Beförderungsvertrag im internationalen Straßengüterverkehr (CMR)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Genf am 19. Mai 1956 unterzeichneten Übereinkommen über den Beförderungsvertrag im internationalen Straßengüterverkehr (CMR) nebst Unterzeichnungsprotokoll vom gleichen Tage wird zugestimmt. Das Übereinkommen nebst Unterzeichnungsprotokoll wird nachstehend veröffentlicht.</w:t>
      </w:r>
    </w:p>
    <w:p>
      <w:r>
        <w:rPr>
          <w:color w:val="555555"/>
          <w:sz w:val="17"/>
        </w:rPr>
        <w:t xml:space="preserve">Zitiervorschlag: Art 1 CMRG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https://recht.nulegal.eu/gesetze/CMRG/1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