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CHGeldERAV</w:t>
      </w:r>
    </w:p>
    <w:p>
      <w:r>
        <w:rPr>
          <w:color w:val="555555"/>
          <w:sz w:val="18"/>
        </w:rPr>
        <w:t xml:space="preserve">Schweizerische-Geldforderungen-E-Rechtsverkehrs-und-Aktenführungsverordnung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Das Bundesministerium der Justiz verordnet aufgrund</w:t>
      </w:r>
    </w:p>
    <w:p>
      <w:pPr>
        <w:ind w:left="420"/>
      </w:pPr>
      <w:r>
        <w:t xml:space="preserve">– des § 1 des Deutsch-Schweizerischer-Polizeivertrag-Umsetzungsgesetzes vom 14. Dezember 2023 (BGBl. 2023 I Nr. 365; 2024 I Nr. 165) und</w:t>
      </w:r>
    </w:p>
    <w:p>
      <w:pPr>
        <w:ind w:left="420"/>
      </w:pPr>
      <w:r>
        <w:t xml:space="preserve">– des § 77b Absatz 1 Nummer 1 bis 4, Absatz 3 Satz 1, 2 und 4 des Gesetzes über die internationale Rechtshilfe in Strafsachen in der Fassung der Bekanntmachung vom 27. Juni 1994 (BGBl. I S. 1537), das zuletzt durch Artikel 21 des Gesetzes vom 12. Juli 2024 (BGBl. 2024 I Nr. 234) geändert worden ist:</w:t>
      </w:r>
    </w:p>
    <w:p>
      <w:r>
        <w:rPr>
          <w:color w:val="555555"/>
          <w:sz w:val="17"/>
        </w:rPr>
        <w:t xml:space="preserve">Zitiervorschlag: Eingangsformel CHGeldERAV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https://recht.nulegal.eu/gesetze/CHGeldERAV/eingangsformel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