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CHGeldERAV — Inkrafttreten</w:t>
      </w:r>
    </w:p>
    <w:p>
      <w:r>
        <w:rPr>
          <w:color w:val="555555"/>
          <w:sz w:val="18"/>
        </w:rPr>
        <w:t xml:space="preserve">Schweizerische-Geldforderungen-E-Rechtsverkehrs-und-Aktenführungsverordnung</w:t>
      </w:r>
    </w:p>
    <w:p>
      <w:r>
        <w:rPr>
          <w:color w:val="555555"/>
          <w:sz w:val="18"/>
        </w:rPr>
        <w:t xml:space="preserve">Stand: 01.05.2025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7 CHGeldERAV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https://recht.nulegal.eu/gesetze/CHGeldERAV/7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