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CHGeldERAV — Zulassung der elektronischen Aktenführung</w:t>
      </w:r>
    </w:p>
    <w:p>
      <w:r>
        <w:rPr>
          <w:color w:val="555555"/>
          <w:sz w:val="18"/>
        </w:rPr>
        <w:t xml:space="preserve">Schweizerische-Geldforderungen-E-Rechtsverkehrs-und-Aktenführungsverordnung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Das Bundesamt für Justiz kann ab dem 1. Mai 2025 die Akten in Verfahren nach den Artikeln 48 bis 51 des Deutsch-Schweizerischen Polizeivertrages in Verbindung mit dem Deutsch-Schweizerischer-Polizeivertrag-Umsetzungsgesetz einschließlich der Akten in Zwangsvollstreckungsverfahren elektronisch führen.</w:t>
      </w:r>
    </w:p>
    <w:p>
      <w:r>
        <w:rPr>
          <w:color w:val="555555"/>
          <w:sz w:val="17"/>
        </w:rPr>
        <w:t xml:space="preserve">Zitiervorschlag: § 4 CHGeldERAV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https://recht.nulegal.eu/gesetze/CHGeldERAV/4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