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CHGeldERAV — Signaturanforderungen</w:t>
      </w:r>
    </w:p>
    <w:p>
      <w:r>
        <w:rPr>
          <w:color w:val="555555"/>
          <w:sz w:val="18"/>
        </w:rPr>
        <w:t xml:space="preserve">Schweizerische-Geldforderungen-E-Rechtsverkehrs-und-Aktenführungsverordnung</w:t>
      </w:r>
    </w:p>
    <w:p>
      <w:r>
        <w:rPr>
          <w:color w:val="555555"/>
          <w:sz w:val="18"/>
        </w:rPr>
        <w:t xml:space="preserve">Stand: 01.05.2025 (konsolidierte Textfassung, kein amtliches Inkrafttretensdatum)</w:t>
      </w:r>
    </w:p>
    <w:p>
      <w:r>
        <w:t xml:space="preserve">(1) Elektronische Dokumente gemäß § 1 Absatz 1 sind mit einer qualifizierten elektronischen Signatur zu versehen.</w:t>
      </w:r>
    </w:p>
    <w:p>
      <w:r>
        <w:t xml:space="preserve">(2) Die qualifizierte elektronische Signatur kann durch eine einfache elektronische Signatur ersetzt werden, wenn das elektronische Dokument auf einem sicheren Übermittlungsweg eingereicht wird. Sichere Übermittlungswege sind:</w:t>
      </w:r>
    </w:p>
    <w:p>
      <w:pPr>
        <w:ind w:left="420"/>
      </w:pPr>
      <w:r>
        <w:t xml:space="preserve">1. der Übermittlungsweg zwischen den besonderen elektronischen Anwaltspostfächern nach den §§ 31a und 31b der Bundesrechtsanwaltsordnung oder einem entsprechenden, auf gesetzlicher Grundlage errichteten elektronischen Postfach und der elektronischen Poststelle des Bundesamtes für Justiz,</w:t>
      </w:r>
    </w:p>
    <w:p>
      <w:pPr>
        <w:ind w:left="420"/>
      </w:pPr>
      <w:r>
        <w:t xml:space="preserve">2. der Übermittlungsweg zwischen einem nach Durchführung eines Identifizierungsverfahrens eingerichteten Postfach einer Behörde oder einer juristischen Person des öffentlichen Rechts und der elektronischen Poststelle des Bundesamtes für Justiz,</w:t>
      </w:r>
    </w:p>
    <w:p>
      <w:pPr>
        <w:ind w:left="420"/>
      </w:pPr>
      <w:r>
        <w:t xml:space="preserve">3. der Übermittlungsweg zwischen einem nach Durchführung eines Identifizierungsverfahrens eingerichteten elektronischen Postfach einer natürlichen oder juristischen Person oder einer sonstigen Vereinigung und der elektronischen Poststelle des Bundesamtes für Justiz,</w:t>
      </w:r>
    </w:p>
    <w:p>
      <w:pPr>
        <w:ind w:left="420"/>
      </w:pPr>
      <w:r>
        <w:t xml:space="preserve">4. der Übermittlungsweg zwischen einem nach Durchführung eines Identifizierungsverfahrens genutzten Postfach- und Versanddienst eines Nutzerkontos im Sinne des § 2 Absatz 5 des Onlinezugangsgesetzes und der elektronischen Poststelle des Bundesamtes für Justiz.</w:t>
      </w:r>
    </w:p>
    <w:p>
      <w:r>
        <w:t xml:space="preserve">(3) Ergänzend zu den in Absatz 2 Satz 2 aufgeführten sicheren Übermittlungswegen liegt ein sicherer Übermittlungsweg auch dann vor, wenn</w:t>
      </w:r>
    </w:p>
    <w:p>
      <w:pPr>
        <w:ind w:left="420"/>
      </w:pPr>
      <w:r>
        <w:t xml:space="preserve">1. ein verschlüsselter Übermittlungsweg auf der Grundlage des Protokollstandards „OSCI“ oder eines nach dem Stand der Technik vergleichbaren Standards genutzt wird und</w:t>
      </w:r>
    </w:p>
    <w:p>
      <w:pPr>
        <w:ind w:left="420"/>
      </w:pPr>
      <w:r>
        <w:t xml:space="preserve">2. das Bundesamt für Justiz für diesen Übermittlungsweg festgestellt hat, dass die Integrität und Authentizität der Daten gewährleistet ist.</w:t>
      </w:r>
    </w:p>
    <w:p>
      <w:r>
        <w:rPr>
          <w:color w:val="555555"/>
          <w:sz w:val="17"/>
        </w:rPr>
        <w:t xml:space="preserve">Zitiervorschlag: § 2 CHGeldERAV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https://recht.nulegal.eu/gesetze/CHGeldERAV/2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