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C5GleichwV</w:t>
      </w:r>
    </w:p>
    <w:p>
      <w:r>
        <w:rPr>
          <w:color w:val="555555"/>
          <w:sz w:val="18"/>
        </w:rPr>
        <w:t xml:space="preserve">C5-Gleichwertigkeitsverordnung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Grund des § 393 Absatz 4 Satz 4 des Fünften Buches Sozialgesetzbuch, der durch Artikel 2 Nummer 6 des Gesetzes vom 22. März 2024 (BGBl. 2024 I Nr. 101) eingefügt worden ist, verordnet das Bundesministerium für Gesundheit im Einvernehmen mit dem Bundesamt für Sicherheit in der Informationstechnik:</w:t>
      </w:r>
    </w:p>
    <w:p>
      <w:r>
        <w:rPr>
          <w:color w:val="555555"/>
          <w:sz w:val="17"/>
        </w:rPr>
        <w:t xml:space="preserve">Zitiervorschlag: Eingangsformel C5GleichwV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https://recht.nulegal.eu/gesetze/C5GleichwV/eingangsformel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