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C5GleichwV — Nachweise für ein gleichwertiges Sicherheitsniveau zum C5-Kriterienkatalog</w:t>
      </w:r>
    </w:p>
    <w:p>
      <w:r>
        <w:rPr>
          <w:color w:val="555555"/>
          <w:sz w:val="18"/>
        </w:rPr>
        <w:t xml:space="preserve">C5-Gleichwertigkeitsverordnung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Eine Testierung oder Zertifizierung eines Cloud-Computing-Dienstes nach einem nachfolgend aufgezählten Standard (alternativer Standard) gilt als Nachweis der Einhaltung eines zu einem Typ1- oder einem Typ2-Testat nach dem Kriterienkatalog C5 des Bundesamtes für Sicherheit in der Informationstechnik gleichwertigen Sicherheitsniveaus im Sinne des § 393 Absatz 4 Satz 3 des Fünften Buches Sozialgesetzbuch, sofern zusätzlich die Voraussetzungen nach den Absätzen 2 und 3 erfüllt sind:</w:t>
      </w:r>
    </w:p>
    <w:p>
      <w:pPr>
        <w:ind w:left="420"/>
      </w:pPr>
      <w:r>
        <w:t xml:space="preserve">1. ISO/IEC 27001 in der jeweils gültigen Fassung,</w:t>
      </w:r>
    </w:p>
    <w:p>
      <w:pPr>
        <w:ind w:left="420"/>
      </w:pPr>
      <w:r>
        <w:t xml:space="preserve">2. ISO 27001 auf der Basis von IT-Grundschutz durch das Bundesamt für Sicherheit in der Informationstechnik und</w:t>
      </w:r>
    </w:p>
    <w:p>
      <w:pPr>
        <w:ind w:left="420"/>
      </w:pPr>
      <w:r>
        <w:t xml:space="preserve">3. Cloud Controls Matrix Version 4.0 in der jeweils gültigen Fassung.</w:t>
      </w:r>
    </w:p>
    <w:p>
      <w:r>
        <w:t xml:space="preserve">(2) Zusätzlich zu dem bestehenden Testat oder Zertifikat aufgrund des alternativen Standards muss für einen Cloud-Computing-Dienst ein Maßnahmenplan vorliegen, der mindestens Folgendes enthält:</w:t>
      </w:r>
    </w:p>
    <w:p>
      <w:pPr>
        <w:ind w:left="420"/>
      </w:pPr>
      <w:r>
        <w:t xml:space="preserve">1. eine Dokumentation, die diejenigen Basiskriterien des C5-Kriterienkatalogs kennzeichnet, die materiell nicht durch den dem bestehenden Testat oder Zertifikat zugrundeliegenden alternativen Standard abgedeckt werden,</w:t>
      </w:r>
    </w:p>
    <w:p>
      <w:pPr>
        <w:ind w:left="420"/>
      </w:pPr>
      <w:r>
        <w:t xml:space="preserve">2. eine Dokumentation der individuellen technischen und organisatorischen Vorkehrungen, die ergriffen werden, um die nach Nummer 1 dokumentierten materiellen Lücken zwischen den Anforderungen des C5-Kriterienkatalogs und den Anforderungen des alternativen Standards zu beheben,</w:t>
      </w:r>
    </w:p>
    <w:p>
      <w:pPr>
        <w:ind w:left="420"/>
      </w:pPr>
      <w:r>
        <w:t xml:space="preserve">3. eine Meilensteinplanung, aus der hervorgeht, bis wann die einzelnen Vorkehrungen nach Nummer 2 derart umgesetzt sein sollen, dass die nach Nummer 1 dokumentierten materiellen Lücken zu den Anforderungen der Basiskriterien des C5-Kriterienkatalogs behoben sind; hierbei darf ein Zeitraum von zwölf Monaten ab der Erstellung der Meilensteinplanung nicht überschritten werden und</w:t>
      </w:r>
    </w:p>
    <w:p>
      <w:pPr>
        <w:ind w:left="420"/>
      </w:pPr>
      <w:r>
        <w:t xml:space="preserve">4. eine Dokumentation von Maßnahmen zur Erlangung eines C5-Typ1-Testats für den Cloud-Computing-Dienst innerhalb von 18 Monaten ab der Erstellung der Meilensteinplanung nach Nummer 3 und von Maßnahmen zur Erlangung eines C5-Typ2-Testats für den Cloud-Computing-Dienst innerhalb von 24 Monaten ab Erstellung der Meilensteinplanung nach Nummer 3; hierunter fallen auch vertragliche Vereinbarungen mit einem Auditor zur Durchführung eines C5-Typ1- oder eines C5-Typ2-Audits oder die Aufnahme von Vertragsverhandlungen hierzu.</w:t>
      </w:r>
    </w:p>
    <w:p>
      <w:r>
        <w:t xml:space="preserve">(3) Der Maßnahmenplan nach Absatz 2 und das bestehende Testat oder Zertifikat aufgrund des alternativen Standards sind den Leistungserbringern nach dem Vierten Kapitel des Fünften Buches Sozialgesetzbuch oder den Kranken- und Pflegekassen, die einen Cloud-Computing-Dienst beauftragen, sowie den jeweils zuständigen Aufsichtsbehörden auf deren Verlangen hin unverzüglich vorzulegen.</w:t>
      </w:r>
    </w:p>
    <w:p>
      <w:r>
        <w:rPr>
          <w:color w:val="555555"/>
          <w:sz w:val="17"/>
        </w:rPr>
        <w:t xml:space="preserve">Zitiervorschlag: § 1 C5GleichwV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https://recht.nulegal.eu/gesetze/C5GleichwV/1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