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BzKJBGebV — Inkrafttreten</w:t>
      </w:r>
    </w:p>
    <w:p>
      <w:r>
        <w:rPr>
          <w:color w:val="555555"/>
          <w:sz w:val="18"/>
        </w:rPr>
        <w:t xml:space="preserve">Besondere Gebührenverordnung Bundeszentrale für Kinder- und Jugendmedienschutz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BzKJBGebV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https://recht.nulegal.eu/gesetze/BzKJBGebV/3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BzKJBGebV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