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BzKJBGebV — Höhe der Gebühren</w:t>
      </w:r>
    </w:p>
    <w:p>
      <w:r>
        <w:rPr>
          <w:color w:val="555555"/>
          <w:sz w:val="18"/>
        </w:rPr>
        <w:t xml:space="preserve">Besondere Gebührenverordnung Bundeszentrale für Kinder- und Jugendmedienschutz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(1) Die Höhe der Gebühren richtet sich nach dem abschließenden Gebührenverzeichnis in der Anlage.</w:t>
      </w:r>
    </w:p>
    <w:p>
      <w:r>
        <w:t xml:space="preserve">(2) Die nach dem Gebührenverzeichnis zu erhebenden Gebühren umfassen jeweils auch die Kosten für die Festsetzung der Gebühren.</w:t>
      </w:r>
    </w:p>
    <w:p>
      <w:r>
        <w:rPr>
          <w:color w:val="555555"/>
          <w:sz w:val="17"/>
        </w:rPr>
        <w:t xml:space="preserve">Zitiervorschlag: § 2 BzKJBGebV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https://recht.nulegal.eu/gesetze/BzKJBGebV/2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