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BzKJBGebV — Erhebung von Gebühren</w:t>
      </w:r>
    </w:p>
    <w:p>
      <w:r>
        <w:rPr>
          <w:color w:val="555555"/>
          <w:sz w:val="18"/>
        </w:rPr>
        <w:t xml:space="preserve">Besondere Gebührenverordnung Bundeszentrale für Kinder- und Jugendmedienschutz</w:t>
      </w:r>
    </w:p>
    <w:p>
      <w:r>
        <w:rPr>
          <w:color w:val="555555"/>
          <w:sz w:val="18"/>
        </w:rPr>
        <w:t xml:space="preserve">Stand: 24.12.2021 (konsolidierte Textfassung, kein amtliches Inkrafttretensdatum)</w:t>
      </w:r>
    </w:p>
    <w:p>
      <w:r>
        <w:t xml:space="preserve">Die Bundeszentrale für Kinder- und Jugendmedienschutz erhebt Gebühren für individuell zurechenbare öffentliche Leistungen (gebührenfähige Leistung), die sie auf Grund des Jugendschutzgesetzes erbringt.</w:t>
      </w:r>
    </w:p>
    <w:p>
      <w:r>
        <w:rPr>
          <w:color w:val="555555"/>
          <w:sz w:val="17"/>
        </w:rPr>
        <w:t xml:space="preserve">Zitiervorschlag: § 1 BzKJBGebV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https://recht.nulegal.eu/gesetze/BzKJBGebV/1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BzKJBGebV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