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BzBlGDV 1</w:t>
      </w:r>
    </w:p>
    <w:p>
      <w:r>
        <w:rPr>
          <w:color w:val="555555"/>
          <w:sz w:val="18"/>
        </w:rPr>
        <w:t xml:space="preserve">Erste Verordnung zur Durchführung des Benzinbleigesetzes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4 Abs. 1 des Benzinbleigesetzes den Zolldienststellen vorzulegende schriftliche Erklärung des Herstellers muß vollständige Angaben auf einem Vordruck nach dem Muster der Anlage enthalten.</w:t>
      </w:r>
    </w:p>
    <w:p>
      <w:r>
        <w:rPr>
          <w:color w:val="555555"/>
          <w:sz w:val="17"/>
        </w:rPr>
        <w:t xml:space="preserve">Zitiervorschlag: § 1 BzBlGDV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https://recht.nulegal.eu/gesetze/BzBlGDV%201/1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