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BzBlG — Ordnungswidrigkeiten</w:t>
      </w:r>
    </w:p>
    <w:p>
      <w:r>
        <w:rPr>
          <w:color w:val="555555"/>
          <w:sz w:val="18"/>
        </w:rPr>
        <w:t xml:space="preserve">Benzinbleigesetz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Ottokraftstoffe,</w:t>
      </w:r>
    </w:p>
    <w:p>
      <w:pPr>
        <w:ind w:left="780"/>
      </w:pPr>
      <w:r>
        <w:t xml:space="preserve">a) die einen höheren als den nach § 2 Abs. 1 zulässigen Gehalt an Bleiverbindungen enthalten,</w:t>
      </w:r>
    </w:p>
    <w:p>
      <w:pPr>
        <w:ind w:left="780"/>
      </w:pPr>
      <w:r>
        <w:t xml:space="preserve">b) die nicht zugelassene Zusätze mit anderen Metallverbindungen enthalten,</w:t>
      </w:r>
    </w:p>
    <w:p>
      <w:pPr>
        <w:ind w:left="420"/>
      </w:pPr>
      <w:r>
        <w:t xml:space="preserve">gewerbsmäßig oder im Rahmen einer wirtschaftlichen Unternehmung herstellt, einführt, sonst in den Geltungsbereich dieses Gesetzes verbringt oder in den Verkehr bringt,</w:t>
      </w:r>
    </w:p>
    <w:p>
      <w:pPr>
        <w:ind w:left="780"/>
      </w:pPr>
      <w:r>
        <w:t xml:space="preserve">a) entgegen § 2a Abs.1 Satz 1 die mindestens gewährleistete Qualität der angebotenen Ottokraftstoffe nicht oder nicht richtig kenntlich macht,</w:t>
      </w:r>
    </w:p>
    <w:p>
      <w:pPr>
        <w:ind w:left="780"/>
      </w:pPr>
      <w:r>
        <w:t xml:space="preserve">b) entgegen § 2a Abs. 1 Satz 2 den Kennzeichnungspflichtigen nicht oder nicht richtig unterrichtet,</w:t>
      </w:r>
    </w:p>
    <w:p>
      <w:pPr>
        <w:ind w:left="780"/>
      </w:pPr>
      <w:r>
        <w:t xml:space="preserve">c) entgegen § 2a Abs. 2 die empfohlenen Kraftstoffqualitäten nicht bekanntgibt.</w:t>
      </w:r>
    </w:p>
    <w:p>
      <w:pPr>
        <w:ind w:left="420"/>
      </w:pPr>
      <w:r>
        <w:t xml:space="preserve">3. Entgegen § 4 Abs. 1 Satz 2 die schriftliche Erklärung des Herstellers nicht aufbewahrt,</w:t>
      </w:r>
    </w:p>
    <w:p>
      <w:pPr>
        <w:ind w:left="420"/>
      </w:pPr>
      <w:r>
        <w:t xml:space="preserve">4. entgegen § 5 Abs. 1 eine Auskunft nicht, nicht richtig, nicht vollständig oder nicht rechtzeitig erteilt oder</w:t>
      </w:r>
    </w:p>
    <w:p>
      <w:pPr>
        <w:ind w:left="420"/>
      </w:pPr>
      <w:r>
        <w:t xml:space="preserve">5. entgegen § 5 Abs. 3 eine Prüfung oder Besichtigung, die Entnahme von Stichproben oder die Einsicht in geschäftliche Unterlagen nicht gestattet.</w:t>
      </w:r>
    </w:p>
    <w:p>
      <w:r>
        <w:t xml:space="preserve">(2) Die Ordnungswidrigkeit kann mit einer Geldbuße bis zu fünfundzwanzigtausend Euro geahndet werden.</w:t>
      </w:r>
    </w:p>
    <w:p>
      <w:r>
        <w:t xml:space="preserve">(3) Ottokraftstoffe, auf die sich eine Ordnungswidrigkeit nach Absatz 1 Nr. 1 bezieht, können eingezogen werden. § 23 des Gesetzes über Ordnungswidrigkeiten ist anzuwenden.</w:t>
      </w:r>
    </w:p>
    <w:p>
      <w:r>
        <w:rPr>
          <w:color w:val="555555"/>
          <w:sz w:val="17"/>
        </w:rPr>
        <w:t xml:space="preserve">Zitiervorschlag: § 7 BzBlG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https://recht.nulegal.eu/gesetze/BzBlG/7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