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BzBlG — Überwachung</w:t>
      </w:r>
    </w:p>
    <w:p>
      <w:r>
        <w:rPr>
          <w:color w:val="555555"/>
          <w:sz w:val="18"/>
        </w:rPr>
        <w:t xml:space="preserve">Benzinbleigesetz</w:t>
      </w:r>
    </w:p>
    <w:p>
      <w:r>
        <w:rPr>
          <w:color w:val="555555"/>
          <w:sz w:val="18"/>
        </w:rPr>
        <w:t xml:space="preserve">Stand: 10.06.2019 (konsolidierte Textfassung, kein amtliches Inkrafttretensdatum)</w:t>
      </w:r>
    </w:p>
    <w:p>
      <w:r>
        <w:t xml:space="preserve">(1) Eigentümer oder Betreiber von Anlagen, in denen Ottokraftstoffe gewerbsmäßig oder im Rahmen wirtschaftlicher Unternehmungen hergestellt werden, Eigentümer und Besitzer von Grundstücken, auf denen Ottokraftstoffe gewerbsmäßig oder im Rahmen wirtschaftlicher Unternehmungen gelagert werden, sowie diejenigen, die Ottokraftstoffe gewerbsmäßig oder im Rahmen wirtschaftlicher Unternehmungen einführen oder sonst in den Geltungsbereich dieses Gesetzes verbringen, haben der nach Landesrecht zuständigen Behörde auf Verlangen die Auskünfte zu erteilen, die zur Durchführung dieses Gesetzes oder einer auf Grund dieses Gesetzes erlassenen Rechtsverordnung erforderlich sind.</w:t>
      </w:r>
    </w:p>
    <w:p>
      <w:r>
        <w:t xml:space="preserve">(2) Der zur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(3) Die von der zuständigen Behörde mit der Einholung von Auskünften beauftragten Personen sind im Rahmen des Absatzes 1 befugt, Grundstücke, Anlagen und Geschäftsräume des Auskunftspflichtigen zu betreten, dort Prüfungen und Besichtigungen vorzunehmen, Stichproben zu entnehmen und in die geschäftlichen Unterlagen des Auskunftspflichtigen Einsicht zu nehmen. Die Kosten, die bei der Entnahme der Proben und deren Untersuchung entstehen, trägt der Auskunftspflichtige.</w:t>
      </w:r>
    </w:p>
    <w:p>
      <w:r>
        <w:t xml:space="preserve">(4) Auf die nach den Absätzen 1 und 3 erlangten Kenntnisse und Unterlagen sind §§ 93, 97, 105 Abs. 1, § 111 Abs. 5 in Verbindung mit § 105 Abs. 1 sowie § 116 Abs. 1 der Abgabenordnung nicht anzuwenden. Dies gilt nicht, soweit die Finanzbehörden die Kenntnisse für die Durchführung eines Verfahrens wegen einer Steuerstraftat sowie eines damit zusammenhängenden Besteuerungsverfahren benötigen, an deren Verfolgung ein zwingendes öffentliches Interesse besteht, oder soweit es sich um vorsätzlich falsche Angaben des Auskunftspflichtigen oder der für ihn tätigen Personen handelt.</w:t>
      </w:r>
    </w:p>
    <w:p>
      <w:r>
        <w:rPr>
          <w:color w:val="555555"/>
          <w:sz w:val="17"/>
        </w:rPr>
        <w:t xml:space="preserve">Zitiervorschlag: § 5 BzBlG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https://recht.nulegal.eu/gesetze/BzBlG/5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