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BzBlG — Begrenzung und Verbot von Zusätzen mit Metallverbindungen</w:t>
      </w:r>
    </w:p>
    <w:p>
      <w:r>
        <w:rPr>
          <w:color w:val="555555"/>
          <w:sz w:val="18"/>
        </w:rPr>
        <w:t xml:space="preserve">Benzinbleigesetz</w:t>
      </w:r>
    </w:p>
    <w:p>
      <w:r>
        <w:rPr>
          <w:color w:val="555555"/>
          <w:sz w:val="18"/>
        </w:rPr>
        <w:t xml:space="preserve">Stand: 01.07.2020 (konsolidierte Textfassung, kein amtliches Inkrafttretensdatum)</w:t>
      </w:r>
    </w:p>
    <w:p>
      <w:r>
        <w:t xml:space="preserve">(1) Ottokraftstoffe, deren Gehalt an Bleiverbindungen, berechnet als Blei, mehr als 0,15 Gramm im Liter (gemessen bei + 15 Grad C) beträgt, dürfen gewerbsmäßig oder im Rahmen wirtschaftlicher Unternehmungen nicht hergestellt, eingeführt oder sonst in den Geltungsbereich dieses Gesetzes verbracht werden. Ottokraftstoffe, deren Motoroktanzahl den Wert 85 und deren Researchoktanzahl den Wert 95 unterschreitet, dürfen ab 1. Februar 1988 nur in den Verkehr gebracht werden, wenn ihr Gehalt an Bleiverbindungen, berechnet als Blei, nicht mehr als 0,013 Gramm im Liter (gemessen bei + 15 Grad C) beträgt. Die Oktanzahlen nach Satz 2 sind nach dem hierfür in der Verordnung nach § 2a Abs. 3 vorgeschriebenen Prüfverfahren zu bestimmen. Dem Herstellen im Sinne dieses Gesetzes steht das Zusetzen von Bleiverbindungen gleich.</w:t>
      </w:r>
    </w:p>
    <w:p>
      <w:r>
        <w:t xml:space="preserve">(2) Ottokraftstoffe, die nicht zugelassene Zusätze mit anderen Metallverbindungen enthalten, dürfen gewerbsmäßig oder im Rahmen wirtschaftlicher Unternehmungen nicht hergestellt, eingeführt oder sonst in den Geltungsbereich dieses Gesetzes verbracht werden. Absatz 1 Satz 4 gilt für diese Zusätze entsprechend. Das Bundesamt für Wirtschaft und Ausfuhrkontrolle (BAFA) kann auf Antrag im Einvernehmen mit dem Umweltbundesamt und dem Umweltbundesamt Zusätze nach Satz 1 bis zu einem bestimmten zulässigen Höchstgehalt im Ottokraftstoff zulassen, soweit dies mit dem Schutz der Allgemeinheit, insbesondere dem Schutz vor schädlichen Umwelteinwirkungen vereinbar ist. Die Zulassung kann unter Bedingungen erteilt, mit Auflagen verbunden und befristet werden. Sie kann widerrufen werden, wenn die Voraussetzungen für die Zulassung nicht mehr vorliegen. Das Bundesministerium für Umwelt, Naturschutz und nukleare Sicherheit erläßt im Einvernehmen mit dem Bundesministerium für Wirtschaft und Energie Verwaltungsvorschriften über die Grundsätze der Zulassung der Zusätze nach Satz 1.</w:t>
      </w:r>
    </w:p>
    <w:p>
      <w:r>
        <w:rPr>
          <w:color w:val="555555"/>
          <w:sz w:val="17"/>
        </w:rPr>
        <w:t xml:space="preserve">Zitiervorschlag: § 2 BzBlG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https://recht.nulegal.eu/gesetze/BzBlG/2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