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BzBlG — Inkrafttreten</w:t>
      </w:r>
    </w:p>
    <w:p>
      <w:r>
        <w:rPr>
          <w:color w:val="555555"/>
          <w:sz w:val="18"/>
        </w:rPr>
        <w:t xml:space="preserve">Benzinbleigesetz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Tag nach seiner Verkündung in Kraft.</w:t>
      </w:r>
    </w:p>
    <w:p>
      <w:r>
        <w:rPr>
          <w:color w:val="555555"/>
          <w:sz w:val="17"/>
        </w:rPr>
        <w:t xml:space="preserve">Zitiervorschlag: § 10 BzBlG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https://recht.nulegal.eu/gesetze/BzBlG/10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