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BzBlG — Zweck und Anwendungsbereich des Gesetzes</w:t>
      </w:r>
    </w:p>
    <w:p>
      <w:r>
        <w:rPr>
          <w:color w:val="555555"/>
          <w:sz w:val="18"/>
        </w:rPr>
        <w:t xml:space="preserve">Benzinbleigesetz</w:t>
      </w:r>
    </w:p>
    <w:p>
      <w:r>
        <w:rPr>
          <w:color w:val="555555"/>
          <w:sz w:val="18"/>
        </w:rPr>
        <w:t xml:space="preserve">Stand: 10.06.2019 (konsolidierte Textfassung, kein amtliches Inkrafttretensdatum)</w:t>
      </w:r>
    </w:p>
    <w:p>
      <w:r>
        <w:t xml:space="preserve">(1) Zweck dieses Gesetzes ist es, zum Schutz der Gesundheit den Gehalt an Bleiverbindungen und anderen an Stelle von Blei zugesetzten Metallverbindungen in Ottokraftstoffen zu beschränken. Soweit es mit dem Schutz der Gesundheit vereinbar ist, sollen dabei Versorgungsstörungen, Wettbewerbsverzerrungen oder Nachteile hinsichtlich der Verwendbarkeit der Ottokraftstoffe vermieden werden.</w:t>
      </w:r>
    </w:p>
    <w:p>
      <w:r>
        <w:t xml:space="preserve">(2) Dieses Gesetz ist anzuwenden auf Ottokraftstoffe, die für Kraftfahrzeugmotore bestimmt sind.</w:t>
      </w:r>
    </w:p>
    <w:p>
      <w:r>
        <w:rPr>
          <w:color w:val="555555"/>
          <w:sz w:val="17"/>
        </w:rPr>
        <w:t xml:space="preserve">Zitiervorschlag: § 1 BzBlG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https://recht.nulegal.eu/gesetze/BzBlG/1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