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BwVollzO</w:t>
      </w:r>
    </w:p>
    <w:p>
      <w:r>
        <w:rPr>
          <w:color w:val="555555"/>
          <w:sz w:val="18"/>
        </w:rPr>
        <w:t xml:space="preserve">Bundeswehrvollzugsordnung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7 des Einführungsgesetzes zum Wehrstrafgesetz vom 30. März 1957 (Bundesgesetzbl. I S. 306) und des § 115 des Jugendgerichtsgesetzes vom 4. August 1953 (Bundesgesetzbl. I S. 751), beide zuletzt geändert durch das Gesetz zur Neuordnung des Wehrdisziplinarrechts vom 21. August 1972 (Bundesgesetzbl. I S. 1481), wird von der Bundesregierung mit Zustimmung des Bundesrates und auf Grund des § 49 Abs. 4 der Wehrdisziplinarordnung in der Fassung der Bekanntmachung vom 4. September 1972 (Bundesgesetzbl. I S. 1665) von dem Bundesminister der Verteidigung verordnet:</w:t>
      </w:r>
    </w:p>
    <w:p>
      <w:r>
        <w:rPr>
          <w:color w:val="555555"/>
          <w:sz w:val="17"/>
        </w:rPr>
        <w:t xml:space="preserve">Zitiervorschlag: Eingangsformel BwVollzO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https://recht.nulegal.eu/gesetze/BwVollzO/eingangsformel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BwVollzO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