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BwKoopG — Schwerbehinderte Menschen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Tätigkeit in einem Kooperationsbetrieb lässt die Rechtsstellung von schwerbehinderten Menschen bei der Anwendung des Teils 2 des Neunten Buches Sozialgesetzbuch im Geschäftsbereich des Bundesministeriums der Verteidigung unberührt.</w:t>
      </w:r>
    </w:p>
    <w:p>
      <w:r>
        <w:t xml:space="preserve">(2) Schwerbehinderte Menschen gelten für die Anwendung der Vorschriften über die Schwerbehindertenvertretung im Kooperationsbetrieb als Beschäftigte.</w:t>
      </w:r>
    </w:p>
    <w:p>
      <w:r>
        <w:rPr>
          <w:color w:val="555555"/>
          <w:sz w:val="17"/>
        </w:rPr>
        <w:t xml:space="preserve">Zitiervorschlag: § 5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