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BwKoopG — Passives Wahlrecht zum Personalrat</w:t>
      </w:r>
    </w:p>
    <w:p>
      <w:r>
        <w:rPr>
          <w:color w:val="555555"/>
          <w:sz w:val="18"/>
        </w:rPr>
        <w:t xml:space="preserve">Kooperationsgesetz der Bundeswehr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die Wählbarkeit zum Personalrat der Dienststelle gilt § 15 des Bundespersonalvertretungsgesetzes.</w:t>
      </w:r>
    </w:p>
    <w:p>
      <w:r>
        <w:rPr>
          <w:color w:val="555555"/>
          <w:sz w:val="17"/>
        </w:rPr>
        <w:t xml:space="preserve">Zitiervorschlag: § 3 BwKoopG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https://recht.nulegal.eu/gesetze/BwKoopG/3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