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BwHFV</w:t>
      </w:r>
    </w:p>
    <w:p>
      <w:r>
        <w:rPr>
          <w:color w:val="555555"/>
          <w:sz w:val="18"/>
        </w:rPr>
        <w:t xml:space="preserve">Bundeswehr-Heilfürsorgeverordnung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69a Absatz 7 des Bundesbesoldungsgesetzes, der durch Artikel 1 Nummer 19 des Gesetzes vom 9. Dezember 2015 (BGBl. I S. 2163) eingefügt worden ist, verordnet das Bundesministerium der Verteidigung im Einvernehmen mit dem Bundesministerium des Innern und dem Bundesministerium der Finanzen:</w:t>
      </w:r>
    </w:p>
    <w:p>
      <w:r>
        <w:rPr>
          <w:color w:val="555555"/>
          <w:sz w:val="17"/>
        </w:rPr>
        <w:t xml:space="preserve">Zitiervorschlag: Eingangsformel BwHFV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https://recht.nulegal.eu/gesetze/BwHFV/eingangsformel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