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BwHFV — Sachleistungsprinzip</w:t>
      </w:r>
    </w:p>
    <w:p>
      <w:r>
        <w:rPr>
          <w:color w:val="555555"/>
          <w:sz w:val="18"/>
        </w:rPr>
        <w:t xml:space="preserve">Bundeswehr-Heilfürsorgeverordnung</w:t>
      </w:r>
    </w:p>
    <w:p>
      <w:r>
        <w:rPr>
          <w:color w:val="555555"/>
          <w:sz w:val="18"/>
        </w:rPr>
        <w:t xml:space="preserve">Stand: 10.06.2019 (konsolidierte Textfassung, kein amtliches Inkrafttretensdatum)</w:t>
      </w:r>
    </w:p>
    <w:p>
      <w:r>
        <w:t xml:space="preserve">(1) Die Leistungen der unentgeltlichen truppenärztlichen Versorgung werden grundsätzlich als Sach- oder Dienstleistungen gewährt.</w:t>
      </w:r>
    </w:p>
    <w:p>
      <w:r>
        <w:t xml:space="preserve">(2) Kann der Anspruch auf unentgeltliche truppenärztliche Versorgung nicht durch medizinische Einrichtungen der Bundeswehr erfüllt werden, so können Soldatinnen oder Soldaten Leistungserbringer außerhalb der Bundeswehr in Anspruch nehmen, sofern</w:t>
      </w:r>
    </w:p>
    <w:p>
      <w:pPr>
        <w:ind w:left="420"/>
      </w:pPr>
      <w:r>
        <w:t xml:space="preserve">1. dies von Ärztinnen oder Ärzten oder Zahnärztinnen oder Zahnärzten der Bundeswehr veranlasst wurde oder</w:t>
      </w:r>
    </w:p>
    <w:p>
      <w:pPr>
        <w:ind w:left="420"/>
      </w:pPr>
      <w:r>
        <w:t xml:space="preserve">2. ein Notfall (§ 30) besteht.</w:t>
      </w:r>
    </w:p>
    <w:p>
      <w:r>
        <w:t xml:space="preserve">(3) Die Inanspruchnahme von Leistungserbringern außerhalb der Bundeswehr erfolgt grundsätzlich auf Grundlage des § 75 Absatz 3 des Fünften Buches Sozialgesetzbuch.</w:t>
      </w:r>
    </w:p>
    <w:p>
      <w:r>
        <w:t xml:space="preserve">(4) Für medizinisch notwendige ärztliche oder zahnärztliche Leistungen, die nicht Gegenstand der kassenärztlichen oder kassenzahnärztlichen Versorgung sind und die von der Kassenärztlichen Bundesvereinigung und den Kassenärztlichen Vereinigungen oder der Kassenzahnärztlichen Bundesvereinigung und den Kassenzahnärztlichen Vereinigungen nicht sichergestellt werden, können Soldatinnen oder Soldaten auf Veranlassung von Ärztinnen oder Ärzten oder Zahnärztinnen oder Zahnärzten der Bundeswehr auch Ärztinnen oder Ärzte oder Zahnärztinnen oder Zahnärzte in Anspruch nehmen, die nicht an der vertragsärztlichen oder vertragszahnärztlichen Versorgung teilnehmen.</w:t>
      </w:r>
    </w:p>
    <w:p>
      <w:r>
        <w:t xml:space="preserve">(5) Auf Veranlassung von Ärztinnen oder Ärzten oder Zahnärztinnen oder Zahnärzten der Bundeswehr werden den Soldatinnen oder Soldaten auf der Grundlage von vertraglichen Vereinbarungen mit einzelnen zivilen Leistungserbringern oder mit Gruppen von zivilen Leistungserbringern auch nichtärztliche Leistungen wie Arznei-, Verband-, Heil- und Hilfsmittel (§§ 14 bis 16) zur Verfügung gestellt.</w:t>
      </w:r>
    </w:p>
    <w:p>
      <w:r>
        <w:t xml:space="preserve">(6) Vertragliche Vereinbarungen zu den Absätzen 3 bis 5 mit Erbringern ziviler medizinischer Leistungen trifft das Bundesministerium der Verteidigung.</w:t>
      </w:r>
    </w:p>
    <w:p>
      <w:r>
        <w:rPr>
          <w:color w:val="555555"/>
          <w:sz w:val="17"/>
        </w:rPr>
        <w:t xml:space="preserve">Zitiervorschlag: § 4 BwHFV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https://recht.nulegal.eu/gesetze/BwHFV/4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