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BwHFV — Inkrafttreten, Außerkrafttreten</w:t>
      </w:r>
    </w:p>
    <w:p>
      <w:r>
        <w:rPr>
          <w:color w:val="555555"/>
          <w:sz w:val="18"/>
        </w:rPr>
        <w:t xml:space="preserve">Bundeswehr-Heilfürsorgeverordnung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Allgemeine Verwaltungsvorschrift zu § 69 Abs. 2 des Bundesbesoldungsgesetzes vom 14. Februar 2007 (VMBl S. 54), die zuletzt durch die Allgemeine Verwaltungsvorschrift vom 25. Juni 2009 (VMBl S. 85) geändert worden ist, außer Kraft.</w:t>
      </w:r>
    </w:p>
    <w:p>
      <w:r>
        <w:rPr>
          <w:color w:val="555555"/>
          <w:sz w:val="17"/>
        </w:rPr>
        <w:t xml:space="preserve">Zitiervorschlag: § 32 BwHFV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https://recht.nulegal.eu/gesetze/BwHFV/32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