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BwHFV — Behandlung in Notfällen</w:t>
      </w:r>
    </w:p>
    <w:p>
      <w:r>
        <w:rPr>
          <w:color w:val="555555"/>
          <w:sz w:val="18"/>
        </w:rPr>
        <w:t xml:space="preserve">Bundeswehr-Heilfürsorgeverordnung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plötzlichen schweren Erkrankungen und Unglücksfällen können Soldatinnen und Soldaten andere ärztliche oder zahnärztliche Hilfe in Anspruch nehmen, wenn folgende Stellen nicht rechtzeitig erreichbar sind:</w:t>
      </w:r>
    </w:p>
    <w:p>
      <w:pPr>
        <w:ind w:left="420"/>
      </w:pPr>
      <w:r>
        <w:t xml:space="preserve">1. eine Ärztin oder ein Arzt oder eine Zahnärztin oder ein Zahnarzt der Bundeswehr,</w:t>
      </w:r>
    </w:p>
    <w:p>
      <w:pPr>
        <w:ind w:left="420"/>
      </w:pPr>
      <w:r>
        <w:t xml:space="preserve">2. andere Ärztinnen und Ärzte, die die Funktion der Truppenärztin oder des Truppenarztes wahrnehmen, oder</w:t>
      </w:r>
    </w:p>
    <w:p>
      <w:pPr>
        <w:ind w:left="420"/>
      </w:pPr>
      <w:r>
        <w:t xml:space="preserve">3. andere Zahnärztinnen und Zahnärzte, die die Funktion der Truppenzahnärztin oder des Truppenzahnarztes wahrnehmen.</w:t>
      </w:r>
    </w:p>
    <w:p>
      <w:r>
        <w:t xml:space="preserve">(2) Die andere ärztliche oder zahnärztliche Hilfe nach Absatz 1 darf nur solange in Anspruch genommen werden, bis eine der in Absatz 1 genannten Stellen die medizinische Versorgung übernehmen kann.</w:t>
      </w:r>
    </w:p>
    <w:p>
      <w:r>
        <w:t xml:space="preserve">(3) Zur anderen ärztlichen oder zahnärztlichen Hilfe nach Absatz 1 gehören neben ärztlicher oder zahnärztlicher Behandlung auch die notwendige Einweisung in ein Krankenhaus, die Verordnung sofort benötigter Arzneimittel und die zur Diagnose sofort notwendigen Maßnahmen.</w:t>
      </w:r>
    </w:p>
    <w:p>
      <w:r>
        <w:t xml:space="preserve">(4) In einem Notfall hat die Soldatin oder der Soldat, sofern sie oder er dazu in der Lage ist, unverzüglich wenn möglich unter Vorlage des Truppenausweises darauf hinzuweisen, dass</w:t>
      </w:r>
    </w:p>
    <w:p>
      <w:pPr>
        <w:ind w:left="420"/>
      </w:pPr>
      <w:r>
        <w:t xml:space="preserve">1. sie Soldatin oder er Soldat ist,</w:t>
      </w:r>
    </w:p>
    <w:p>
      <w:pPr>
        <w:ind w:left="420"/>
      </w:pPr>
      <w:r>
        <w:t xml:space="preserve">2. sich die Behandlung und die Abrechnung der Behandlung nach den für die Bundeswehr geltenden Regelungen richtet und</w:t>
      </w:r>
    </w:p>
    <w:p>
      <w:pPr>
        <w:ind w:left="420"/>
      </w:pPr>
      <w:r>
        <w:t xml:space="preserve">3. die erforderlichen Überweisungs- und Abrechnungsscheine von der zuständigen Truppenärztin oder dem zuständigen Truppenarzt oder der zuständigen Truppenzahnärztin oder dem zuständigen Truppenzahnarzt nachgereicht werden.</w:t>
      </w:r>
    </w:p>
    <w:p>
      <w:r>
        <w:t xml:space="preserve">(5) Die Soldatin oder der Soldat hat seine Dienststelle von der Erkrankung oder dem Notfall umgehend zu benachrichtigen oder benachrichtigen zu lassen.</w:t>
      </w:r>
    </w:p>
    <w:p>
      <w:r>
        <w:t xml:space="preserve">(6) Bei Verstoß gegen diese Regelungen gehen ärztliche oder zahnärztliche Honorarforderungen und Krankenhauskosten, soweit sie die für die Bundeswehr festgesetzten Gebührensätze übersteigen, zu Lasten der Soldatin oder des Soldaten.</w:t>
      </w:r>
    </w:p>
    <w:p>
      <w:r>
        <w:rPr>
          <w:color w:val="555555"/>
          <w:sz w:val="17"/>
        </w:rPr>
        <w:t xml:space="preserve">Zitiervorschlag: § 30 BwHFV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https://recht.nulegal.eu/gesetze/BwHFV/30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