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BwHFV — Familien- und Haushaltshilfe</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Die notwendigen Kosten für eine Familien- und Haushaltshilfe werden übernommen, wenn</w:t>
      </w:r>
    </w:p>
    <w:p>
      <w:pPr>
        <w:ind w:left="420"/>
      </w:pPr>
      <w:r>
        <w:t xml:space="preserve">1. die den Haushalt führende Soldatin oder der den Haushalt führende Soldat den Haushalt wegen einer medizinisch erforderlichen außerhäuslichen Unterbringung im Sinne von § 6 Absatz 2, §§ 10, 11 Absatz 2, §§ 13, 19a und 27 Absatz 1 Nummer 6 nicht weiterführen kann,</w:t>
      </w:r>
    </w:p>
    <w:p>
      <w:pPr>
        <w:ind w:left="420"/>
      </w:pPr>
      <w:r>
        <w:t xml:space="preserve">2. im Haushalt mindestens ein Kind, das das zwölfte Lebensjahr noch nicht vollendet hat oder behindert und auf Hilfe angewiesen ist, oder eine andere Person, die pflegebedürftig ist, verbleibt und</w:t>
      </w:r>
    </w:p>
    <w:p>
      <w:pPr>
        <w:ind w:left="420"/>
      </w:pPr>
      <w:r>
        <w:t xml:space="preserve">3. keine andere im Haushalt lebende Person den Haushalt weiterführen kann.</w:t>
      </w:r>
    </w:p>
    <w:p>
      <w:r>
        <w:t xml:space="preserve">In Ausnahmefällen kann aus Fürsorgegründen mit Zustimmung der obersten Dienstbehörde von diesen Voraussetzungen abgewichen werden.</w:t>
      </w:r>
    </w:p>
    <w:p>
      <w:r>
        <w:t xml:space="preserve">(2) Die Kosten für eine erforderliche Familien- und Haushaltshilfe werden bei Inanspruchnahme eines gewerblichen Dienstleisters bis zu der Höhe übernommen, in der sie von den gesetzlichen Krankenkassen erstattet werden.</w:t>
      </w:r>
    </w:p>
    <w:p>
      <w:r>
        <w:t xml:space="preserve">(3) Die Kosten für eine selbstbeschaffte, nicht berufsmäßige Familien- und Haushaltshilfe werden in der in § 28 Absatz 1 der Bundesbeihilfeverordnung genannten Höhe übernommen.</w:t>
      </w:r>
    </w:p>
    <w:p>
      <w:r>
        <w:t xml:space="preserve">(4) Wird die Familien- und Haushaltshilfe durch die Ehegattin, den Ehegatten, die Lebenspartnerin, den Lebenspartner, die Eltern oder die Kinder der Soldatin oder des Soldaten durchgeführt, gilt § 19 Absatz 5 entsprechend.</w:t>
      </w:r>
    </w:p>
    <w:p>
      <w:r>
        <w:t xml:space="preserve">(5) Kosten für eine Familien- und Haushaltshilfe, deren Notwendigkeit ärztlich bescheinigt worden ist, werden in der in den Absätzen 2 bis 4 bestimmten Höhe für höchstens 28 Tage übernommen</w:t>
      </w:r>
    </w:p>
    <w:p>
      <w:pPr>
        <w:ind w:left="420"/>
      </w:pPr>
      <w:r>
        <w:t xml:space="preserve">1. bei schwerer Krankheit einer Soldatin oder eines Soldaten oder</w:t>
      </w:r>
    </w:p>
    <w:p>
      <w:pPr>
        <w:ind w:left="420"/>
      </w:pPr>
      <w:r>
        <w:t xml:space="preserve">2. bei akuter Verschlimmerung einer Krankheit einer Soldatin oder eines Soldaten,</w:t>
      </w:r>
    </w:p>
    <w:p>
      <w:r>
        <w:t xml:space="preserve">insbesondere unmittelbar nach einem Krankenhausaufenthalt, unmittelbar nach einer ambulanten Operation oder unmittelbar nach einer ambulanten Krankenhausbehandlung. Satz 1 gilt auch für Alleinstehende. Absatz 1 Satz 2 gilt entsprechend.</w:t>
      </w:r>
    </w:p>
    <w:p>
      <w:r>
        <w:t xml:space="preserve">(6) Werden statt der Inanspruchnahme einer Familien- und Haushaltshilfe Kinder, die das zwölfte Lebensjahr noch nicht vollendet haben, oder im Haushalt lebende pflegebedürftige Personen in einem Heim oder in einem fremden Haushalt untergebracht, werden die Kosten hierfür bis zur Höhe der sonst notwendigen Kosten einer Familien- und Haushaltshilfe übernommen.</w:t>
      </w:r>
    </w:p>
    <w:p>
      <w:r>
        <w:t xml:space="preserve">(7) Kosten für notwendige Fahrten sind in Höhe der Reisekostenvergütung nach den §§ 3, 4 und 5 Absatz 1 des Bundesreisekostengesetzes erstattungsfähig.</w:t>
      </w:r>
    </w:p>
    <w:p>
      <w:r>
        <w:t xml:space="preserve">(8) Für Soldatinnen und Soldaten, die sich auf dienstliche Anordnung im Ausland aufhalten, ist § 29 der Bundesbeihilfeverordnung entsprechend anzuwenden. Abweichend von § 29 Absatz 1 Nummer 2 und § 29 Absatz 3 der Bundesbeihilfeverordnung besteht ein Anspruch auf Gewährung einer Familien- und Haushaltshilfe oder Übernahme von Fahrtkosten, wenn das Kind das zwölfte Lebensjahr noch nicht vollendet hat.</w:t>
      </w:r>
    </w:p>
    <w:p>
      <w:r>
        <w:rPr>
          <w:color w:val="555555"/>
          <w:sz w:val="17"/>
        </w:rPr>
        <w:t xml:space="preserve">Zitiervorschlag: § 20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