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BwHFV — Eigentum an Hilfsmitteln</w:t>
      </w:r>
    </w:p>
    <w:p>
      <w:r>
        <w:rPr>
          <w:color w:val="555555"/>
          <w:sz w:val="18"/>
        </w:rPr>
        <w:t xml:space="preserve">Bundeswehr-Heilfürsorgeverordnung</w:t>
      </w:r>
    </w:p>
    <w:p>
      <w:r>
        <w:rPr>
          <w:color w:val="555555"/>
          <w:sz w:val="18"/>
        </w:rPr>
        <w:t xml:space="preserve">Stand: 10.06.2019 (konsolidierte Textfassung, kein amtliches Inkrafttretensdatum)</w:t>
      </w:r>
    </w:p>
    <w:p>
      <w:r>
        <w:t xml:space="preserve">(1) Ein Hilfsmittel geht, soweit nichts anderes bestimmt ist, nicht in das Eigentum der Soldatin oder des Soldaten über.</w:t>
      </w:r>
    </w:p>
    <w:p>
      <w:r>
        <w:t xml:space="preserve">(2) Wendet eine Soldatin oder ein Soldat für ein verordnetes Hilfsmittel eigene Mittel auf, um eine bessere, aber medizinisch nicht notwendige Ausführung zu erhalten, erwirbt sie oder er an dem Hilfsmittel Miteigentum. Der Eigentumsanteil bestimmt sich nach der Höhe der aufgewendeten eigenen Mittel. Wird das Hilfsmittel im Dienst zerstört oder beschädigt, werden der Soldatin oder dem Soldaten für den Miteigentumsanteil Entschädigungen nach den allgemeinen Vorschriften über Schadensersatzansprüche und Billigkeitszuwendungen bei im Dienst entstandenen Sachschäden gewährt.</w:t>
      </w:r>
    </w:p>
    <w:p>
      <w:r>
        <w:t xml:space="preserve">(3) Bei Ende des Dienstverhältnisses geht das Hilfsmittel in das Eigentum der Soldatin oder des Soldaten über, wenn sie oder er das Hilfsmittel weiterhin benötigt. Wird eine Soldatin oder ein Soldat erneut zum Wehrdienst herangezogen und ist das Hilfsmittel noch vorhanden, so ist es mitzubringen und gilt nicht als eigenes Hilfsmittel.</w:t>
      </w:r>
    </w:p>
    <w:p>
      <w:r>
        <w:rPr>
          <w:color w:val="555555"/>
          <w:sz w:val="17"/>
        </w:rPr>
        <w:t xml:space="preserve">Zitiervorschlag: § 18 BwHFV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https://recht.nulegal.eu/gesetze/BwHFV/18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