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BwHFV — Organspenden und andere Spenden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Spende, Entnahme und Übertragung von Organen, Geweben, Blutstammzellen oder anderen Blutbestandteilen gilt § 45a der Bundesbeihilfeverordnung entsprechend.</w:t>
      </w:r>
    </w:p>
    <w:p>
      <w:r>
        <w:t xml:space="preserve">(2) Die Kosten nach Absatz 1 sind nur erstattungsfähig, soweit sie nicht von anderer Seite erstattet werden oder zu erstatten sind.</w:t>
      </w:r>
    </w:p>
    <w:p>
      <w:r>
        <w:t xml:space="preserve">(3) Die Kosten, die der Spenderin oder dem Spender durch Folge- oder Spätschäden entstehen, sind im Rahmen der unentgeltlichen truppenärztlichen Versorgung nicht erstattungsfähig.</w:t>
      </w:r>
    </w:p>
    <w:p>
      <w:r>
        <w:rPr>
          <w:color w:val="555555"/>
          <w:sz w:val="17"/>
        </w:rPr>
        <w:t xml:space="preserve">Zitiervorschlag: § 12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