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BwFinSVermG — Auflösung, Tilgungsplan</w:t>
      </w:r>
    </w:p>
    <w:p>
      <w:r>
        <w:rPr>
          <w:color w:val="555555"/>
          <w:sz w:val="18"/>
        </w:rPr>
        <w:t xml:space="preserve">Bundeswehrfinanzierungs- und sondervermögensgesetz</w:t>
      </w:r>
    </w:p>
    <w:p>
      <w:r>
        <w:rPr>
          <w:color w:val="555555"/>
          <w:sz w:val="18"/>
        </w:rPr>
        <w:t xml:space="preserve">Stand: 08.07.2022 (konsolidierte Textfassung, kein amtliches Inkrafttretensdatum)</w:t>
      </w:r>
    </w:p>
    <w:p>
      <w:r>
        <w:t xml:space="preserve">(1) Das Sondervermögen gilt am 31. Dezember des Jahres als aufgelöst, in dem der Kreditrahmen nach § 4 vollständig ausgeschöpft wurde. Verbleibendes Vermögen fällt dem Bund zu. Verbleibende Schulden des Sondervermögens werden in die allgemeine Bundesschuld integriert.</w:t>
      </w:r>
    </w:p>
    <w:p>
      <w:r>
        <w:t xml:space="preserve">(2) Nach vollständiger Inanspruchnahme der Kreditermächtigung im Sondervermögen, spätestens ab dem 1. Januar 2031, sind die vom Sondervermögen aufgenommenen Kredite innerhalb eines angemessenen Zeitraums zurückzuführen.</w:t>
      </w:r>
    </w:p>
    <w:p>
      <w:r>
        <w:rPr>
          <w:color w:val="555555"/>
          <w:sz w:val="17"/>
        </w:rPr>
        <w:t xml:space="preserve">Zitiervorschlag: § 8 BwFinSVermG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https://recht.nulegal.eu/gesetze/BwFinSVermG/8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