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BwFinSVermG — Verwaltungskosten</w:t>
      </w:r>
    </w:p>
    <w:p>
      <w:r>
        <w:rPr>
          <w:color w:val="555555"/>
          <w:sz w:val="18"/>
        </w:rPr>
        <w:t xml:space="preserve">Bundeswehrfinanzierungs- und sondervermögensgesetz</w:t>
      </w:r>
    </w:p>
    <w:p>
      <w:r>
        <w:rPr>
          <w:color w:val="555555"/>
          <w:sz w:val="18"/>
        </w:rPr>
        <w:t xml:space="preserve">Stand: 08.07.2022 (konsolidierte Textfassung, kein amtliches Inkrafttretensdatum)</w:t>
      </w:r>
    </w:p>
    <w:p>
      <w:r>
        <w:t xml:space="preserve">Die Kosten für die Verwaltung des Sondervermögens trägt der Bund.</w:t>
      </w:r>
    </w:p>
    <w:p>
      <w:r>
        <w:rPr>
          <w:color w:val="555555"/>
          <w:sz w:val="17"/>
        </w:rPr>
        <w:t xml:space="preserve">Zitiervorschlag: § 7 BwFinSVermG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https://recht.nulegal.eu/gesetze/BwFinSVermG/7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