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BwFinSVermG — Zweck des Sondervermögens</w:t>
      </w:r>
    </w:p>
    <w:p>
      <w:r>
        <w:rPr>
          <w:color w:val="555555"/>
          <w:sz w:val="18"/>
        </w:rPr>
        <w:t xml:space="preserve">Bundeswehrfinanzierungs- und sondervermögensgesetz</w:t>
      </w:r>
    </w:p>
    <w:p>
      <w:r>
        <w:rPr>
          <w:color w:val="555555"/>
          <w:sz w:val="18"/>
        </w:rPr>
        <w:t xml:space="preserve">Stand: 01.01.2024 (konsolidierte Textfassung, kein amtliches Inkrafttretensdatum)</w:t>
      </w:r>
    </w:p>
    <w:p>
      <w:r>
        <w:t xml:space="preserve">Das Sondervermögen hat den Zweck, die Bündnis- und Verteidigungsfähigkeit zu stärken und dazu ab dem Jahr 2022 die Fähigkeitslücken der Bundeswehr zu schließen, um damit auch den deutschen Beitrag zu den geltenden NATO-Fähigkeitszielen gewährleisten zu können. Die Mittel des Sondervermögens sollen der Finanzierung von Ausrüstungsvorhaben der Bundeswehr dienen. Dies umfasst insbesondere bedeutsame Maßnahmen im Bereich der Rüstungsinvestitionen nebst mit diesen zusammenhängender Forschung, Munitionsausgaben, Infrastrukturprojekte sowie Projekte auf den Gebieten der Informationstechnologie, zum Schutz von und zur Sicherstellung des Zugangs zu Schlüsseltechnologie und Logistik für die Bundeswehr.</w:t>
      </w:r>
    </w:p>
    <w:p>
      <w:r>
        <w:rPr>
          <w:color w:val="555555"/>
          <w:sz w:val="17"/>
        </w:rPr>
        <w:t xml:space="preserve">Zitiervorschlag: § 2 BwFinSVermG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https://recht.nulegal.eu/gesetze/BwFinSVermG/2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