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BwFinSVermG — Weitere Maßnahmen zur Stärkung der Bündnis- und Verteidigungsfähigkeit</w:t>
      </w:r>
    </w:p>
    <w:p>
      <w:r>
        <w:rPr>
          <w:color w:val="555555"/>
          <w:sz w:val="18"/>
        </w:rPr>
        <w:t xml:space="preserve">Bundeswehrfinanzierungs- und sondervermögensgesetz</w:t>
      </w:r>
    </w:p>
    <w:p>
      <w:r>
        <w:rPr>
          <w:color w:val="555555"/>
          <w:sz w:val="18"/>
        </w:rPr>
        <w:t xml:space="preserve">Stand: 08.07.2022 (konsolidierte Textfassung, kein amtliches Inkrafttretensdatum)</w:t>
      </w:r>
    </w:p>
    <w:p>
      <w:r>
        <w:t xml:space="preserve">(1) Unabhängig vom Sondervermögen werden zur Stärkung der Bündnis- und Verteidigungsfähigkeit Maßnahmen zur Cybersicherheit, zum Zivilschutz sowie zur Ertüchtigung und Stabilisierung von Partnern über den Bundeshaushalt finanziert.</w:t>
      </w:r>
    </w:p>
    <w:p>
      <w:r>
        <w:t xml:space="preserve">(2) Die Bundesregierung legt eine Strategie zur Stärkung der Sicherheit im Cyber- und Informationsraum vor.</w:t>
      </w:r>
    </w:p>
    <w:p>
      <w:r>
        <w:rPr>
          <w:color w:val="555555"/>
          <w:sz w:val="17"/>
        </w:rPr>
        <w:t xml:space="preserve">Zitiervorschlag: § 1a BwFinSVermG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https://recht.nulegal.eu/gesetze/BwFinSVermG/1a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