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BwFinSVermG — Errichtung eines Sondervermögens und Finanzierung der Bundeswehr</w:t>
      </w:r>
    </w:p>
    <w:p>
      <w:r>
        <w:rPr>
          <w:color w:val="555555"/>
          <w:sz w:val="18"/>
        </w:rPr>
        <w:t xml:space="preserve">Bundeswehrfinanzierungs- und sondervermögensgesetz</w:t>
      </w:r>
    </w:p>
    <w:p>
      <w:r>
        <w:rPr>
          <w:color w:val="555555"/>
          <w:sz w:val="18"/>
        </w:rPr>
        <w:t xml:space="preserve">Stand: 08.07.2022 (konsolidierte Textfassung, kein amtliches Inkrafttretensdatum)</w:t>
      </w:r>
    </w:p>
    <w:p>
      <w:r>
        <w:t xml:space="preserve">(1) Es wird ein Sondervermögen des Bundes mit der Bezeichnung „Sondervermögen Bundeswehr“ errichtet.</w:t>
      </w:r>
    </w:p>
    <w:p>
      <w:r>
        <w:t xml:space="preserve">(2) Mit Hilfe des Sondervermögens werden im mehrjährigen Durchschnitt von maximal fünf Jahren 2 Prozent des Bruttoinlandsprodukts auf Basis der aktuellen Regierungsprognose für Verteidigungsausgaben nach NATO-Kriterien bereitgestellt.</w:t>
      </w:r>
    </w:p>
    <w:p>
      <w:r>
        <w:t xml:space="preserve">(3) Nach Verausgabung des Sondervermögens werden aus dem Bundeshaushalt weiterhin die finanziellen Mittel bereitgestellt, um das Fähigkeitsprofil der Bundeswehr und den deutschen Beitrag zu den dann jeweils geltenden NATO-Fähigkeitszielen zu gewährleisten.</w:t>
      </w:r>
    </w:p>
    <w:p>
      <w:r>
        <w:rPr>
          <w:color w:val="555555"/>
          <w:sz w:val="17"/>
        </w:rPr>
        <w:t xml:space="preserve">Zitiervorschlag: § 1 BwFinSVermG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https://recht.nulegal.eu/gesetze/BwFinSVermG/1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