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BwFahnAnO</w:t>
      </w:r>
    </w:p>
    <w:p>
      <w:r>
        <w:rPr>
          <w:color w:val="555555"/>
          <w:sz w:val="18"/>
        </w:rPr>
        <w:t xml:space="preserve">Anordnung über die Stiftung der Truppenfahnen für die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Verteidigung wird ermächtigt, die zu dieser Anordnung erforderlichen Durchführungsbestimmungen zu erlassen.</w:t>
      </w:r>
    </w:p>
    <w:p>
      <w:r>
        <w:rPr>
          <w:color w:val="555555"/>
          <w:sz w:val="17"/>
        </w:rPr>
        <w:t xml:space="preserve">Zitiervorschlag: § 4 BwFahnAnO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https://recht.nulegal.eu/gesetze/BwFahnAnO/4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