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mit schmalem Goldstreifen gefaßte Fahnenband in der Waffenfarbe des Truppenteils ist am Fahnenstock angebracht.</w:t>
      </w:r>
    </w:p>
    <w:p>
      <w:r>
        <w:t xml:space="preserve">(2) Auf dem Fahnenband ist das Emblem der Teilstreitkraft und die Bezeichnung des jeweiligen Truppenteils eingestickt.</w:t>
      </w:r>
    </w:p>
    <w:p>
      <w:r>
        <w:rPr>
          <w:color w:val="555555"/>
          <w:sz w:val="17"/>
        </w:rPr>
        <w:t xml:space="preserve">Zitiervorschlag: § 3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