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BwFahnAnO</w:t>
      </w:r>
    </w:p>
    <w:p>
      <w:r>
        <w:rPr>
          <w:color w:val="555555"/>
          <w:sz w:val="18"/>
        </w:rPr>
        <w:t xml:space="preserve">Anordnung über die Stiftung der Truppenfahnen für die Bundeswehr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Fahnentuch ist an einem schwarzen Fahnenstock befestigt. Ein Metallring um den Fahnenstock trägt die Bezeichnung des Truppenteils.</w:t>
      </w:r>
    </w:p>
    <w:p>
      <w:r>
        <w:t xml:space="preserve">(2) Die Spitze des Fahnenstocks ist ausgebildet als ein ovaler Eichenlaubkranz mit einem Eisernen Kreuz in der Mitte.</w:t>
      </w:r>
    </w:p>
    <w:p>
      <w:r>
        <w:rPr>
          <w:color w:val="555555"/>
          <w:sz w:val="17"/>
        </w:rPr>
        <w:t xml:space="preserve">Zitiervorschlag: § 2 BwFahnAnO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https://recht.nulegal.eu/gesetze/BwFahnAnO/2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