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BwBDSGOWiZustV</w:t>
      </w:r>
    </w:p>
    <w:p>
      <w:r>
        <w:rPr>
          <w:color w:val="555555"/>
          <w:sz w:val="18"/>
        </w:rPr>
        <w:t xml:space="preserve">BwBDSGOWiZustV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36 Abs. 3 des Gesetzes über Ordnungswidrigkeiten in der Fassung der Bekanntmachung vom 19. Februar 1987 (BGBl. I S. 602), der durch Artikel 1 Nr. 5 Buchstabe b des Gesetzes vom 26. Januar 1998 (BGBl. I S. 156) geändert worden ist, verordnet das Bundesministerium der Verteidigung:</w:t>
      </w:r>
    </w:p>
    <w:p>
      <w:r>
        <w:rPr>
          <w:color w:val="555555"/>
          <w:sz w:val="17"/>
        </w:rPr>
        <w:t xml:space="preserve">Zitiervorschlag: Eingangsformel BwBDSGOWiZustV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https://recht.nulegal.eu/gesetze/BwBDSGOWiZustV/eingangsformel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