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BwBDSGOWiZustV — Inkrafttreten</w:t>
      </w:r>
    </w:p>
    <w:p>
      <w:r>
        <w:rPr>
          <w:color w:val="555555"/>
          <w:sz w:val="18"/>
        </w:rPr>
        <w:t xml:space="preserve">BwBDSGOWiZustV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2 BwBDSGOWiZustV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https://recht.nulegal.eu/gesetze/BwBDSGOWiZustV/2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