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BwBBG 2026 — Außerkrafttreten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Dieses Gesetz tritt mit Ablauf des 31. Dezember 2035 außer Kraft.</w:t>
      </w:r>
    </w:p>
    <w:p>
      <w:r>
        <w:rPr>
          <w:color w:val="555555"/>
          <w:sz w:val="17"/>
        </w:rPr>
        <w:t xml:space="preserve">Zitiervorschlag: § 20 BwBBG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https://recht.nulegal.eu/gesetze/BwBBG%202026/20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BwBBG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