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ButtV 1997 — Abwertung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Erfüllt Butter infolge einer nachträglichen Veränderung nicht mehr die Mindestanforderungen der angegebenen Handelsklasse, so ist sie nach den in § 7 Abs. 3 genannten Kriterien neu zu bewerten und entsprechend der Bewertung als "Deutsche Molkereibutter" oder "Butter" einzustufen.</w:t>
      </w:r>
    </w:p>
    <w:p>
      <w:r>
        <w:t xml:space="preserve">(2) Ist bei einer Beanstandung der Verkäufer mit der Abwertung nicht einverstanden, so entscheidet ein sachverständiger Gutachter. Die Buttersachverständigen werden von der nach Landesrecht zuständigen Behörde ernannt.</w:t>
      </w:r>
    </w:p>
    <w:p>
      <w:r>
        <w:rPr>
          <w:color w:val="555555"/>
          <w:sz w:val="17"/>
        </w:rPr>
        <w:t xml:space="preserve">Zitiervorschlag: § 9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