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ButtV 1997 — Inverkehrbringen nach Handelsklassen</w:t>
      </w:r>
    </w:p>
    <w:p>
      <w:r>
        <w:rPr>
          <w:color w:val="555555"/>
          <w:sz w:val="18"/>
        </w:rPr>
        <w:t xml:space="preserve">Butterverordnung</w:t>
      </w:r>
    </w:p>
    <w:p>
      <w:r>
        <w:rPr>
          <w:color w:val="555555"/>
          <w:sz w:val="18"/>
        </w:rPr>
        <w:t xml:space="preserve">Historische Fassung: Stand 10.06.2019 bis 14.06.2026. Dies ist nicht die aktuelle Fassung.</w:t>
      </w:r>
    </w:p>
    <w:p>
      <w:r>
        <w:t xml:space="preserve">Butter darf nach Handelsklassen im Sinne des Satzes 2 nur in den Verkehr gebracht werden, wenn sie nach Maßgabe des § 5 hergestellt ist und die Qualitätsanforderungen nach § 6 erfüllt. Handelsklassen sind "Deutsche Markenbutter" und "Deutsche Molkereibutter".</w:t>
      </w:r>
    </w:p>
    <w:p>
      <w:r>
        <w:rPr>
          <w:color w:val="555555"/>
          <w:sz w:val="17"/>
        </w:rPr>
        <w:t xml:space="preserve">Zitiervorschlag: § 4 ButtV 1997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https://recht.nulegal.eu/gesetze/ButtV%201997/4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